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0A6DE06C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2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7BB5CEA1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654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60B10B5" w14:textId="77777777" w:rsidR="002E4DA2" w:rsidRDefault="002E4DA2" w:rsidP="002E4DA2">
      <w:pPr>
        <w:spacing w:after="0" w:line="240" w:lineRule="auto"/>
        <w:jc w:val="both"/>
        <w:rPr>
          <w:rFonts w:ascii="PT Astra Serif" w:hAnsi="PT Astra Serif"/>
          <w:b/>
          <w:color w:val="FF0000"/>
          <w:sz w:val="36"/>
          <w:szCs w:val="36"/>
          <w:u w:val="single"/>
        </w:rPr>
      </w:pPr>
    </w:p>
    <w:p w14:paraId="118CC6AD" w14:textId="77777777" w:rsidR="002E4DA2" w:rsidRPr="00D23C4F" w:rsidRDefault="002E4DA2" w:rsidP="002E4DA2">
      <w:pPr>
        <w:spacing w:after="0" w:line="240" w:lineRule="auto"/>
        <w:jc w:val="both"/>
        <w:rPr>
          <w:rFonts w:ascii="PT Astra Serif" w:hAnsi="PT Astra Serif"/>
          <w:b/>
          <w:color w:val="FF0000"/>
          <w:sz w:val="36"/>
          <w:szCs w:val="36"/>
          <w:u w:val="single"/>
        </w:rPr>
      </w:pPr>
    </w:p>
    <w:p w14:paraId="60AE82EF" w14:textId="77777777" w:rsidR="002E4DA2" w:rsidRDefault="002E4DA2" w:rsidP="002E4DA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Об утверждении Требований </w:t>
      </w:r>
      <w:r w:rsidRPr="0077521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77521B">
        <w:rPr>
          <w:rFonts w:ascii="PT Astra Serif" w:eastAsia="Calibri" w:hAnsi="PT Astra Serif" w:cs="Times New Roman"/>
          <w:b/>
          <w:bCs/>
          <w:iCs/>
          <w:sz w:val="28"/>
          <w:szCs w:val="28"/>
        </w:rPr>
        <w:t xml:space="preserve">муниципальном образовании «Сенгилеевский район» Ульяновской области </w:t>
      </w:r>
    </w:p>
    <w:p w14:paraId="21E1EB7C" w14:textId="77777777" w:rsidR="002E4DA2" w:rsidRPr="0077521B" w:rsidRDefault="002E4DA2" w:rsidP="002E4DA2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в </w:t>
      </w:r>
      <w:r w:rsidRPr="0077521B">
        <w:rPr>
          <w:rFonts w:ascii="PT Astra Serif" w:eastAsia="Calibri" w:hAnsi="PT Astra Serif" w:cs="Times New Roman"/>
          <w:b/>
          <w:bCs/>
          <w:sz w:val="28"/>
          <w:szCs w:val="28"/>
          <w:lang w:eastAsia="en-US"/>
        </w:rPr>
        <w:t xml:space="preserve">соответствии </w:t>
      </w:r>
      <w:r w:rsidRPr="0077521B">
        <w:rPr>
          <w:rFonts w:ascii="PT Astra Serif" w:eastAsia="Calibri" w:hAnsi="PT Astra Serif" w:cs="Times New Roman"/>
          <w:b/>
          <w:bCs/>
          <w:sz w:val="28"/>
          <w:szCs w:val="28"/>
        </w:rPr>
        <w:t>с социальным сертификатом</w:t>
      </w:r>
    </w:p>
    <w:p w14:paraId="7313B3A9" w14:textId="77777777" w:rsidR="002E4DA2" w:rsidRPr="0077521B" w:rsidRDefault="002E4DA2" w:rsidP="002E4DA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  <w:lang w:eastAsia="en-US"/>
        </w:rPr>
      </w:pPr>
    </w:p>
    <w:p w14:paraId="55E03C66" w14:textId="2EE16DB8" w:rsidR="002E4DA2" w:rsidRPr="0077521B" w:rsidRDefault="002E4DA2" w:rsidP="002E4D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В соответствии с пунктом 4 статьи 5 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Постановлением Администрации муниципального образования «Сенгилеевский район» Ульяновской области от 15 февраля 2023 года                № 80-п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«Сенгилеевский район» Ульяновской области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и Постановлением Администрации муниципального образования «Сенгилеевский район» Ульяновской области от 05 сентября  2023 года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     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№588-п </w:t>
      </w:r>
      <w:r w:rsidRPr="0077521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«О некоторых мерах правового регулирования вопросов, связанных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</w:t>
      </w:r>
      <w:r w:rsidRPr="0077521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с оказанием муниципальной услуги «Реализация дополнительных общеразвивающих программ» в соответствии с социальными сертификатами,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Администрация муниципального образования «Сенгилеевский район» Ульяновской области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             </w:t>
      </w:r>
      <w:r>
        <w:rPr>
          <w:rFonts w:ascii="PT Astra Serif" w:eastAsia="Calibri" w:hAnsi="PT Astra Serif" w:cs="Times New Roman"/>
          <w:sz w:val="28"/>
          <w:szCs w:val="28"/>
          <w:lang w:eastAsia="en-US"/>
        </w:rPr>
        <w:t>п о с т а н о в л я е т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>:</w:t>
      </w:r>
    </w:p>
    <w:p w14:paraId="167A0560" w14:textId="77777777" w:rsidR="002E4DA2" w:rsidRPr="0077521B" w:rsidRDefault="002E4DA2" w:rsidP="002E4DA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Утвердить прилагаемые Требования 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Pr="0077521B">
        <w:rPr>
          <w:rFonts w:ascii="PT Astra Serif" w:eastAsia="Calibri" w:hAnsi="PT Astra Serif" w:cs="Times New Roman"/>
          <w:iCs/>
          <w:sz w:val="28"/>
          <w:szCs w:val="28"/>
        </w:rPr>
        <w:t>муниципальном образовании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«Сенгилеевский район» Ульяновской области 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соответствии </w:t>
      </w:r>
      <w:r w:rsidRPr="0077521B">
        <w:rPr>
          <w:rFonts w:ascii="PT Astra Serif" w:eastAsia="Calibri" w:hAnsi="PT Astra Serif" w:cs="Times New Roman"/>
          <w:sz w:val="28"/>
          <w:szCs w:val="28"/>
        </w:rPr>
        <w:t>с социальным сертификатом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(далее – Требования).</w:t>
      </w:r>
    </w:p>
    <w:p w14:paraId="622CF210" w14:textId="77777777" w:rsidR="002E4DA2" w:rsidRPr="0077521B" w:rsidRDefault="002E4DA2" w:rsidP="002E4DA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Обеспечить оказание муниципальной услуги 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в социальной </w:t>
      </w:r>
      <w:r>
        <w:rPr>
          <w:rFonts w:ascii="PT Astra Serif" w:eastAsia="Calibri" w:hAnsi="PT Astra Serif" w:cs="Times New Roman"/>
          <w:sz w:val="28"/>
          <w:szCs w:val="28"/>
        </w:rPr>
        <w:t xml:space="preserve">                  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сфере «Реализация дополнительных общеразвивающих </w:t>
      </w:r>
      <w:proofErr w:type="gramStart"/>
      <w:r w:rsidRPr="0077521B">
        <w:rPr>
          <w:rFonts w:ascii="PT Astra Serif" w:eastAsia="Calibri" w:hAnsi="PT Astra Serif" w:cs="Times New Roman"/>
          <w:sz w:val="28"/>
          <w:szCs w:val="28"/>
        </w:rPr>
        <w:t xml:space="preserve">программ» </w:t>
      </w:r>
      <w:r>
        <w:rPr>
          <w:rFonts w:ascii="PT Astra Serif" w:eastAsia="Calibri" w:hAnsi="PT Astra Serif" w:cs="Times New Roman"/>
          <w:sz w:val="28"/>
          <w:szCs w:val="28"/>
        </w:rPr>
        <w:t xml:space="preserve">  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                         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в муниципальном образовании «Сенгилеевский район» Ульяновской области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lastRenderedPageBreak/>
        <w:t>в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соответствии </w:t>
      </w:r>
      <w:r w:rsidRPr="0077521B">
        <w:rPr>
          <w:rFonts w:ascii="PT Astra Serif" w:eastAsia="Calibri" w:hAnsi="PT Astra Serif" w:cs="Times New Roman"/>
          <w:sz w:val="28"/>
          <w:szCs w:val="28"/>
        </w:rPr>
        <w:t>с социальным сертификатом (далее – муниципальная услуга) на условиях и в порядке, установленном Требованиями.</w:t>
      </w:r>
    </w:p>
    <w:p w14:paraId="714F46DF" w14:textId="77777777" w:rsidR="002E4DA2" w:rsidRPr="0077521B" w:rsidRDefault="002E4DA2" w:rsidP="002E4DA2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sz w:val="28"/>
          <w:szCs w:val="28"/>
        </w:rPr>
        <w:t xml:space="preserve">В целях проведения отбора исполнителей муниципальной услуги организовать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>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Pr="0077521B">
        <w:rPr>
          <w:rFonts w:ascii="PT Astra Serif" w:eastAsia="Calibri" w:hAnsi="PT Astra Serif" w:cs="Times New Roman"/>
          <w:sz w:val="28"/>
          <w:szCs w:val="28"/>
        </w:rPr>
        <w:t xml:space="preserve">, утвержденным 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Постановлением Администрации муниципального образования «Сенгилеевский район» Ульяновской области от 05 сентября 2023 года №588-п </w:t>
      </w:r>
      <w:r w:rsidRPr="0077521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</w:t>
      </w:r>
      <w:r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 xml:space="preserve">       </w:t>
      </w:r>
      <w:r w:rsidRPr="0077521B">
        <w:rPr>
          <w:rFonts w:ascii="PT Astra Serif" w:eastAsia="Calibri" w:hAnsi="PT Astra Serif" w:cs="Times New Roman"/>
          <w:bCs/>
          <w:sz w:val="28"/>
          <w:szCs w:val="28"/>
          <w:lang w:eastAsia="en-US"/>
        </w:rPr>
        <w:t>с социальными сертификатами»</w:t>
      </w: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14:paraId="095ECAE8" w14:textId="77777777" w:rsidR="002E4DA2" w:rsidRPr="0077521B" w:rsidRDefault="002E4DA2" w:rsidP="002E4D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  <w:lang w:eastAsia="en-US"/>
        </w:rPr>
      </w:pPr>
      <w:r w:rsidRPr="0077521B">
        <w:rPr>
          <w:rFonts w:ascii="PT Astra Serif" w:eastAsia="Calibri" w:hAnsi="PT Astra Serif" w:cs="Times New Roman"/>
          <w:sz w:val="28"/>
          <w:szCs w:val="28"/>
          <w:lang w:eastAsia="en-US"/>
        </w:rPr>
        <w:t>4. Контроль за исполнением настоящего постановления возложить на первого заместителя Главы Администрации муниципального образования «Сенгилеевский район» Нуждину Н.В.</w:t>
      </w:r>
    </w:p>
    <w:p w14:paraId="149ADD5B" w14:textId="77777777" w:rsidR="002E4DA2" w:rsidRPr="0077521B" w:rsidRDefault="002E4DA2" w:rsidP="002E4D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7521B">
        <w:rPr>
          <w:rFonts w:ascii="PT Astra Serif" w:hAnsi="PT Astra Serif" w:cs="Arial"/>
          <w:sz w:val="28"/>
          <w:szCs w:val="28"/>
        </w:rPr>
        <w:t>5.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77521B">
        <w:rPr>
          <w:rFonts w:ascii="PT Astra Serif" w:hAnsi="PT Astra Serif" w:cs="Arial"/>
          <w:sz w:val="28"/>
          <w:szCs w:val="28"/>
        </w:rPr>
        <w:t xml:space="preserve">Настоящее постановление вступает в силу </w:t>
      </w:r>
      <w:r w:rsidRPr="0077521B">
        <w:rPr>
          <w:rFonts w:ascii="PT Astra Serif" w:hAnsi="PT Astra Serif" w:cs="Times New Roman"/>
          <w:sz w:val="28"/>
          <w:szCs w:val="28"/>
        </w:rPr>
        <w:t>на следующий день после дня его обнародования.</w:t>
      </w:r>
    </w:p>
    <w:p w14:paraId="142AB2F2" w14:textId="77777777" w:rsidR="002E4DA2" w:rsidRDefault="002E4DA2" w:rsidP="002E4D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451F9AF2" w14:textId="77777777" w:rsidR="002E4DA2" w:rsidRDefault="002E4DA2" w:rsidP="002E4D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6888161F" w14:textId="77777777" w:rsidR="002E4DA2" w:rsidRPr="00F56967" w:rsidRDefault="002E4DA2" w:rsidP="002E4DA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47C585CB" w14:textId="77777777" w:rsidR="002E4DA2" w:rsidRPr="00F56967" w:rsidRDefault="002E4DA2" w:rsidP="002E4DA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F56967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7FAA911D" w14:textId="77777777" w:rsidR="002E4DA2" w:rsidRPr="00F56967" w:rsidRDefault="002E4DA2" w:rsidP="002E4DA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F56967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4D8DF39B" w14:textId="77777777" w:rsidR="002E4DA2" w:rsidRPr="00F56967" w:rsidRDefault="002E4DA2" w:rsidP="002E4DA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F56967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F56967">
        <w:rPr>
          <w:rFonts w:ascii="PT Astra Serif" w:eastAsia="Calibri" w:hAnsi="PT Astra Serif" w:cs="Times New Roman"/>
          <w:sz w:val="28"/>
          <w:szCs w:val="28"/>
        </w:rPr>
        <w:tab/>
      </w:r>
      <w:r w:rsidRPr="00F56967">
        <w:rPr>
          <w:rFonts w:ascii="PT Astra Serif" w:eastAsia="Calibri" w:hAnsi="PT Astra Serif" w:cs="Times New Roman"/>
          <w:sz w:val="28"/>
          <w:szCs w:val="28"/>
        </w:rPr>
        <w:tab/>
      </w:r>
      <w:r w:rsidRPr="00F56967">
        <w:rPr>
          <w:rFonts w:ascii="PT Astra Serif" w:eastAsia="Calibri" w:hAnsi="PT Astra Serif" w:cs="Times New Roman"/>
          <w:sz w:val="28"/>
          <w:szCs w:val="28"/>
        </w:rPr>
        <w:tab/>
      </w:r>
      <w:r w:rsidRPr="00F56967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59C754B4" w14:textId="77777777" w:rsidR="002E4DA2" w:rsidRPr="00F56967" w:rsidRDefault="002E4DA2" w:rsidP="002E4DA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7777777" w:rsidR="002E4DA2" w:rsidRPr="00A02706" w:rsidRDefault="002E4DA2" w:rsidP="002E4DA2">
      <w:pPr>
        <w:shd w:val="clear" w:color="auto" w:fill="FFFFFF"/>
        <w:spacing w:after="150" w:line="300" w:lineRule="atLeast"/>
        <w:jc w:val="right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A41A36D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2C6969A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0F0311D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E86CC2A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C0E8A2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16D0EAF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F1C8EB1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566A8A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2122AD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5FE3A45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28F8EF3" w14:textId="2D3C1BAB" w:rsidR="002E4DA2" w:rsidRP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  <w:r w:rsidRPr="002E4DA2"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  <w:lastRenderedPageBreak/>
        <w:t>ПРИЛОЖЕНИЕ № 1</w:t>
      </w:r>
    </w:p>
    <w:p w14:paraId="586BB639" w14:textId="77777777" w:rsidR="002E4DA2" w:rsidRP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</w:pPr>
      <w:r w:rsidRPr="002E4DA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постановлению Администрации </w:t>
      </w:r>
      <w:r w:rsidRPr="002E4DA2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муниципального образования «Сенгилеевский район»</w:t>
      </w:r>
    </w:p>
    <w:p w14:paraId="373AA085" w14:textId="77777777" w:rsidR="002E4DA2" w:rsidRP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E4DA2">
        <w:rPr>
          <w:rFonts w:ascii="PT Astra Serif" w:eastAsiaTheme="minorHAnsi" w:hAnsi="PT Astra Serif" w:cstheme="minorBidi"/>
          <w:color w:val="000000"/>
          <w:sz w:val="28"/>
          <w:szCs w:val="28"/>
          <w:lang w:eastAsia="en-US"/>
        </w:rPr>
        <w:t>Ульяновской области</w:t>
      </w:r>
    </w:p>
    <w:p w14:paraId="5F2CE9CD" w14:textId="77777777" w:rsidR="002E4DA2" w:rsidRP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2E4DA2">
        <w:rPr>
          <w:rFonts w:ascii="PT Astra Serif" w:eastAsiaTheme="minorHAnsi" w:hAnsi="PT Astra Serif" w:cstheme="minorBidi"/>
          <w:sz w:val="28"/>
          <w:szCs w:val="28"/>
          <w:lang w:eastAsia="en-US"/>
        </w:rPr>
        <w:t>от 2 октября 2023 года № 654-п</w:t>
      </w:r>
    </w:p>
    <w:p w14:paraId="5912555B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eastAsiaTheme="minorHAnsi" w:hAnsi="PT Astra Serif" w:cs="Times New Roman"/>
          <w:b/>
          <w:bCs/>
          <w:caps/>
          <w:sz w:val="28"/>
          <w:szCs w:val="28"/>
          <w:lang w:eastAsia="en-US"/>
        </w:rPr>
      </w:pPr>
    </w:p>
    <w:p w14:paraId="2F6175E0" w14:textId="77777777" w:rsidR="002E4DA2" w:rsidRPr="002E4DA2" w:rsidRDefault="002E4DA2" w:rsidP="002E4DA2">
      <w:pPr>
        <w:keepNext/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</w:rPr>
      </w:pPr>
    </w:p>
    <w:p w14:paraId="48F3E8D8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E4DA2">
        <w:rPr>
          <w:rFonts w:ascii="PT Astra Serif" w:eastAsia="Calibri" w:hAnsi="PT Astra Serif" w:cs="Times New Roman"/>
          <w:b/>
          <w:sz w:val="28"/>
          <w:szCs w:val="28"/>
        </w:rPr>
        <w:t xml:space="preserve">ТРЕБОВАНИЯ </w:t>
      </w:r>
    </w:p>
    <w:p w14:paraId="50387179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Hlk130201089"/>
      <w:r w:rsidRPr="002E4DA2">
        <w:rPr>
          <w:rFonts w:ascii="PT Astra Serif" w:eastAsia="Calibri" w:hAnsi="PT Astra Serif" w:cs="Times New Roman"/>
          <w:b/>
          <w:sz w:val="28"/>
          <w:szCs w:val="28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</w:t>
      </w:r>
      <w:r w:rsidRPr="002E4DA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в </w:t>
      </w:r>
      <w:r w:rsidRPr="002E4DA2">
        <w:rPr>
          <w:rFonts w:ascii="PT Astra Serif" w:eastAsia="Calibri" w:hAnsi="PT Astra Serif" w:cs="Times New Roman"/>
          <w:b/>
          <w:bCs/>
          <w:iCs/>
          <w:sz w:val="28"/>
          <w:szCs w:val="28"/>
        </w:rPr>
        <w:t xml:space="preserve">муниципальном образовании «Сенгилеевский район» Ульяновской области </w:t>
      </w:r>
      <w:r w:rsidRPr="002E4DA2">
        <w:rPr>
          <w:rFonts w:ascii="PT Astra Serif" w:eastAsia="Calibri" w:hAnsi="PT Astra Serif" w:cs="Times New Roman"/>
          <w:b/>
          <w:sz w:val="28"/>
          <w:szCs w:val="28"/>
        </w:rPr>
        <w:t xml:space="preserve">в </w:t>
      </w:r>
      <w:r w:rsidRPr="002E4DA2">
        <w:rPr>
          <w:rFonts w:ascii="PT Astra Serif" w:eastAsiaTheme="minorHAnsi" w:hAnsi="PT Astra Serif" w:cs="Times New Roman"/>
          <w:b/>
          <w:bCs/>
          <w:sz w:val="28"/>
          <w:szCs w:val="28"/>
          <w:lang w:eastAsia="en-US"/>
        </w:rPr>
        <w:t xml:space="preserve">соответствии </w:t>
      </w:r>
      <w:r w:rsidRPr="002E4DA2">
        <w:rPr>
          <w:rFonts w:ascii="PT Astra Serif" w:eastAsia="Calibri" w:hAnsi="PT Astra Serif" w:cs="Times New Roman"/>
          <w:b/>
          <w:sz w:val="28"/>
          <w:szCs w:val="28"/>
        </w:rPr>
        <w:t>с социальным сертификатом</w:t>
      </w:r>
      <w:bookmarkEnd w:id="0"/>
      <w:r w:rsidRPr="002E4DA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2E4DA2">
        <w:rPr>
          <w:rFonts w:ascii="PT Astra Serif" w:eastAsia="Calibri" w:hAnsi="PT Astra Serif" w:cs="Times New Roman"/>
          <w:b/>
          <w:sz w:val="28"/>
          <w:szCs w:val="28"/>
        </w:rPr>
        <w:br/>
      </w:r>
    </w:p>
    <w:p w14:paraId="206601FB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1. Настоящие Требования к условиям и порядку оказания муниципальной услуги в социальной сфере «Реализация дополнительных общеразвивающих программ»</w:t>
      </w:r>
      <w:r w:rsidRPr="002E4DA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2E4DA2">
        <w:rPr>
          <w:rFonts w:ascii="PT Astra Serif" w:eastAsia="Calibri" w:hAnsi="PT Astra Serif" w:cs="Times New Roman"/>
          <w:bCs/>
          <w:sz w:val="28"/>
          <w:szCs w:val="28"/>
        </w:rPr>
        <w:t>в муниципальном</w:t>
      </w:r>
      <w:r w:rsidRPr="002E4DA2">
        <w:rPr>
          <w:rFonts w:ascii="PT Astra Serif" w:eastAsia="Calibri" w:hAnsi="PT Astra Serif" w:cs="Times New Roman"/>
          <w:bCs/>
          <w:iCs/>
          <w:sz w:val="28"/>
          <w:szCs w:val="28"/>
        </w:rPr>
        <w:t xml:space="preserve"> образовании «Сенгилеевский район» Ульяновской области</w:t>
      </w:r>
      <w:r w:rsidRPr="002E4DA2">
        <w:rPr>
          <w:rFonts w:ascii="PT Astra Serif" w:eastAsia="Calibri" w:hAnsi="PT Astra Serif" w:cs="Times New Roman"/>
          <w:b/>
          <w:bCs/>
          <w:iCs/>
          <w:sz w:val="28"/>
          <w:szCs w:val="28"/>
        </w:rPr>
        <w:t xml:space="preserve"> </w:t>
      </w:r>
      <w:r w:rsidRPr="002E4DA2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>в</w:t>
      </w:r>
      <w:r w:rsidRPr="002E4DA2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Pr="002E4DA2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соответствии  </w:t>
      </w:r>
      <w:r w:rsidRPr="002E4DA2">
        <w:rPr>
          <w:rFonts w:ascii="PT Astra Serif" w:eastAsia="Calibri" w:hAnsi="PT Astra Serif" w:cs="Times New Roman"/>
          <w:bCs/>
          <w:sz w:val="28"/>
          <w:szCs w:val="28"/>
        </w:rPr>
        <w:t xml:space="preserve"> с социальным сертификатом (далее - муниципальная услуга, Требования) определяет организацию реализации дополнительных общеразвивающих программ детям в возрасте от 5 до 18 лет, проживающим на территории Субъекта РФ, в соответствии с социальными сертификатами.</w:t>
      </w:r>
    </w:p>
    <w:p w14:paraId="0466B78E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2. Уполномоченным органом, утверждающим муниципальный социальный заказ на оказание муниципальной услуги и обеспечивающим его исполнение, является муниципальное учреждение «Управление образования Администрации муниципального образования «Сенгилеевский район» Ульяновской области (далее – уполномоченный орган).</w:t>
      </w:r>
    </w:p>
    <w:p w14:paraId="739C6CFE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3. Исполнителем муниципальной услуги является организация, осуществляющая образовательную деятельность или индивидуальный предприниматель,</w:t>
      </w:r>
      <w:r w:rsidRPr="002E4DA2">
        <w:rPr>
          <w:rFonts w:ascii="PT Astra Serif" w:hAnsi="PT Astra Serif" w:cs="Times New Roman"/>
          <w:kern w:val="2"/>
          <w:sz w:val="24"/>
          <w:szCs w:val="24"/>
          <w14:ligatures w14:val="standardContextual"/>
        </w:rPr>
        <w:t xml:space="preserve"> </w:t>
      </w:r>
      <w:r w:rsidRPr="002E4DA2">
        <w:rPr>
          <w:rFonts w:ascii="PT Astra Serif" w:eastAsia="Calibri" w:hAnsi="PT Astra Serif" w:cs="Times New Roman"/>
          <w:bCs/>
          <w:sz w:val="28"/>
          <w:szCs w:val="28"/>
        </w:rPr>
        <w:t xml:space="preserve"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непосредственно, включенные в реестр исполнителей муниципальной услуги в соответствии с Порядком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сертификатом, утвержденным </w:t>
      </w:r>
      <w:r w:rsidRPr="002E4DA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 Постановлением Администрации муниципального образования «Сенгилеевский район» Ульяновской области  от  05 сентября  2023 года № 588-п </w:t>
      </w:r>
      <w:r w:rsidRPr="002E4DA2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Pr="002E4DA2">
        <w:rPr>
          <w:rFonts w:ascii="PT Astra Serif" w:eastAsiaTheme="minorHAnsi" w:hAnsi="PT Astra Serif" w:cs="Times New Roman"/>
          <w:b/>
          <w:bCs/>
          <w:sz w:val="28"/>
          <w:szCs w:val="28"/>
          <w:lang w:eastAsia="en-US"/>
        </w:rPr>
        <w:t xml:space="preserve"> </w:t>
      </w:r>
      <w:r w:rsidRPr="002E4DA2">
        <w:rPr>
          <w:rFonts w:ascii="PT Astra Serif" w:eastAsia="Calibri" w:hAnsi="PT Astra Serif" w:cs="Times New Roman"/>
          <w:bCs/>
          <w:sz w:val="28"/>
          <w:szCs w:val="28"/>
        </w:rPr>
        <w:t>(далее соответственно – Исполнитель, Порядок формирования реестра исполнителей).</w:t>
      </w:r>
    </w:p>
    <w:p w14:paraId="530E4522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 xml:space="preserve">4. Потребителями муниципальной услуги являются дети в возрасте от 5 до 18 лет, проживающие на территории муниципального образования «Сенгилеевский район» Ульяновской области и имеющие право на получение </w:t>
      </w:r>
      <w:r w:rsidRPr="002E4DA2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муниципальных услуг в соответствии с социальным сертификатом (далее - Потребитель).</w:t>
      </w:r>
    </w:p>
    <w:p w14:paraId="657F02BD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5. Подтверждение соответствия настоящим Требованиям дополнительной общеразвивающей программы, сведения о которой включаются уполномоченным органом по заявлению Исполнителя в соответствующий раздел реестра исполнителей муниципальной услуги «Реализация дополнительных образовательных программ (за исключением дополнительных предпрофессиональных программ в области искусства)» (далее – реестр исполнителей услуги) в соответствии с социальным сертификатом по правилам, определенным Порядком формирования реестра исполнителей, обеспечивается путем проведения процедуры общественной экспертизы в форме независимой оценки качества в соответствии с Распоряжением Министерства просвещения и воспитания Ульяновской области от 12 июля 2023 года №1397-р «О проведении независимой оценки качества дополнительных общеразвивающих программ» (далее – Распоряжение НОК).</w:t>
      </w:r>
    </w:p>
    <w:p w14:paraId="5499013F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6. Качество оказания муниципальной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14:paraId="0CD1C002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7. Проведение занятий в рамках оказания муниципальной услуги осуществляется согласно установленному локальным актом Исполнителя расписанию занятий.</w:t>
      </w:r>
    </w:p>
    <w:p w14:paraId="65BFB257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8. В объеме муниципального заказа, установленном Исполнителю оказания муниципальной услуги по результатам отбора, учитываются человеко-часы реализации дополнительной общеразвивающей программы.</w:t>
      </w:r>
    </w:p>
    <w:p w14:paraId="0629947E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9. Значение нормативных затрат на оказание муниципальной услуги ежегодно устанавливается актом Уполномоченного органа.</w:t>
      </w:r>
    </w:p>
    <w:p w14:paraId="043253EF" w14:textId="77777777" w:rsidR="002E4DA2" w:rsidRPr="002E4DA2" w:rsidRDefault="002E4DA2" w:rsidP="002E4DA2">
      <w:pPr>
        <w:keepNext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10. Контроль за реализацией мероприятий по оказанию муниципальной услуги осуществляется Министерством в соответствии с действующим законодательством Российской Федерации.</w:t>
      </w:r>
    </w:p>
    <w:p w14:paraId="19CAA71B" w14:textId="77777777" w:rsidR="002E4DA2" w:rsidRPr="002E4DA2" w:rsidRDefault="002E4DA2" w:rsidP="002E4DA2">
      <w:pPr>
        <w:spacing w:after="0" w:line="240" w:lineRule="auto"/>
        <w:ind w:firstLine="709"/>
        <w:rPr>
          <w:rFonts w:ascii="PT Astra Serif" w:eastAsiaTheme="minorHAnsi" w:hAnsi="PT Astra Serif" w:cs="Times New Roman"/>
          <w:b/>
          <w:bCs/>
          <w:i/>
          <w:sz w:val="28"/>
          <w:szCs w:val="28"/>
          <w:vertAlign w:val="subscript"/>
          <w:lang w:eastAsia="en-US"/>
        </w:rPr>
      </w:pPr>
    </w:p>
    <w:p w14:paraId="0E7981E4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  <w:sectPr w:rsidR="002E4DA2" w:rsidRPr="002E4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78BB74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1</w:t>
      </w:r>
    </w:p>
    <w:p w14:paraId="40BC30C0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к Требованиям</w:t>
      </w:r>
    </w:p>
    <w:p w14:paraId="0EA706E7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38C07488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4A434A1D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caps/>
          <w:sz w:val="28"/>
          <w:szCs w:val="28"/>
        </w:rPr>
      </w:pPr>
      <w:r w:rsidRPr="002E4DA2">
        <w:rPr>
          <w:rFonts w:ascii="PT Astra Serif" w:eastAsia="Calibri" w:hAnsi="PT Astra Serif" w:cs="Times New Roman"/>
          <w:b/>
          <w:caps/>
          <w:sz w:val="28"/>
          <w:szCs w:val="28"/>
        </w:rPr>
        <w:t xml:space="preserve">Минимальные требования </w:t>
      </w:r>
    </w:p>
    <w:p w14:paraId="127F2A08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E4DA2">
        <w:rPr>
          <w:rFonts w:ascii="PT Astra Serif" w:eastAsia="Calibri" w:hAnsi="PT Astra Serif" w:cs="Times New Roman"/>
          <w:b/>
          <w:sz w:val="28"/>
          <w:szCs w:val="28"/>
        </w:rPr>
        <w:t>к оказанию муниципальной услуги в социальной сфере по реализации дополнительных общеразвивающих программ</w:t>
      </w:r>
    </w:p>
    <w:p w14:paraId="337C332C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9766"/>
      </w:tblGrid>
      <w:tr w:rsidR="002E4DA2" w:rsidRPr="002E4DA2" w14:paraId="12D9B2B7" w14:textId="77777777" w:rsidTr="00A16BF4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C3F6A7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A2C12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Требования к оказанию муниципальной услуги </w:t>
            </w:r>
          </w:p>
        </w:tc>
      </w:tr>
    </w:tbl>
    <w:p w14:paraId="44A9D9D7" w14:textId="77777777" w:rsidR="002E4DA2" w:rsidRPr="002E4DA2" w:rsidRDefault="002E4DA2" w:rsidP="002E4DA2">
      <w:pPr>
        <w:spacing w:after="0" w:line="240" w:lineRule="auto"/>
        <w:rPr>
          <w:rFonts w:ascii="PT Astra Serif" w:hAnsi="PT Astra Serif" w:cs="Times New Roman"/>
          <w:b/>
          <w:bCs/>
          <w:sz w:val="2"/>
          <w:szCs w:val="2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397"/>
        <w:gridCol w:w="7369"/>
      </w:tblGrid>
      <w:tr w:rsidR="002E4DA2" w:rsidRPr="002E4DA2" w14:paraId="2D861CF2" w14:textId="77777777" w:rsidTr="00A16BF4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316F242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kern w:val="2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bCs/>
                <w:kern w:val="2"/>
                <w14:ligatures w14:val="standardContextual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58B00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kern w:val="2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bCs/>
                <w:kern w:val="2"/>
                <w14:ligatures w14:val="standardContextual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F67005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PT Astra Serif" w:hAnsi="PT Astra Serif" w:cs="Times New Roman"/>
                <w:b/>
                <w:bCs/>
                <w:kern w:val="2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bCs/>
                <w:kern w:val="2"/>
                <w14:ligatures w14:val="standardContextual"/>
              </w:rPr>
              <w:t>3</w:t>
            </w:r>
          </w:p>
        </w:tc>
      </w:tr>
      <w:tr w:rsidR="002E4DA2" w:rsidRPr="002E4DA2" w14:paraId="69F9D1C9" w14:textId="77777777" w:rsidTr="00A16BF4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114111" w14:textId="77777777" w:rsidR="002E4DA2" w:rsidRPr="002E4DA2" w:rsidRDefault="002E4DA2" w:rsidP="002E4DA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Требования к оказанию муниципальной услуги, обусловленные лицензированием образовательной деятельности</w:t>
            </w:r>
          </w:p>
        </w:tc>
      </w:tr>
      <w:tr w:rsidR="002E4DA2" w:rsidRPr="002E4DA2" w14:paraId="574C94A7" w14:textId="77777777" w:rsidTr="00A16BF4">
        <w:trPr>
          <w:trHeight w:val="976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FF1F718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1.1.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11CD9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Требования к законности и безопасности оказания </w:t>
            </w:r>
          </w:p>
          <w:p w14:paraId="6FDC9575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муниципальной услуги</w:t>
            </w:r>
          </w:p>
          <w:p w14:paraId="7C5EA79B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5650DA1F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6CCB7FE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Муниципальная услуга оказывается в соответствии с требованиями </w:t>
            </w:r>
            <w:hyperlink r:id="rId6" w:history="1">
              <w:r w:rsidRPr="002E4DA2">
                <w:rPr>
                  <w:rFonts w:ascii="PT Astra Serif" w:hAnsi="PT Astra Serif" w:cs="Times New Roman"/>
                  <w:kern w:val="2"/>
                  <w:sz w:val="24"/>
                  <w:szCs w:val="24"/>
                  <w14:ligatures w14:val="standardContextual"/>
                </w:rPr>
                <w:t>Федерального закона от 29.12.2012 № 273-ФЗ  "Об образовании в Российской Федерации"</w:t>
              </w:r>
            </w:hyperlink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 (далее – Закон об образовании), обязательным условием является наличие у  исполнителя муниципальной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14:paraId="26BB7839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Лицензионные требования, установленные Положением о лицензировании образовательной деятельности, утвержденным постановлением Правительства Российской Федерации от 18 сентября 2020 г. № 1490, в том числе требования к материально-техническому обеспечению оказания муниципальной услуги и к помещениям при оказании муниципальной услуги, не требуют повторного подтверждения при оказании муниципальной услуги.</w:t>
            </w:r>
          </w:p>
          <w:p w14:paraId="00FFDA62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Информационное обеспечение предоставления муниципальной услуги осуществляется в соответствии со статьей 29 Закона об образовании.</w:t>
            </w:r>
          </w:p>
          <w:p w14:paraId="72699380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Муниципальная услуга оказывается потребителю в соответствии   с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организаций», Постановлением Правительства РФ от 2 августа 2019 г.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требования к обеспечению 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безопасности и (или) безвредности для человека факторов среды обитания».</w:t>
            </w:r>
          </w:p>
        </w:tc>
      </w:tr>
      <w:tr w:rsidR="002E4DA2" w:rsidRPr="002E4DA2" w14:paraId="03E51DAD" w14:textId="77777777" w:rsidTr="00A16BF4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FB97D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BBCB1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Требования к персоналу, непосредственно обеспечивающему предоставление муниципальной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28254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Предоставление муниципальной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14:paraId="48FEBAEA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Персонал должен иметь профессиональную квалификацию, необходимый для выполнения трудовых функций уровень подготовки, соответствующий:</w:t>
            </w:r>
          </w:p>
          <w:p w14:paraId="6F557A26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22.09.2021г.№652;</w:t>
            </w:r>
          </w:p>
          <w:p w14:paraId="3D3BE729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 - Профессиональному стандарту «Педагог-психолог», утвержденному приказом Минтруда России от 24.07.2015г.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Минздравсоцразвития от 26.08.2010г. №761н.</w:t>
            </w:r>
          </w:p>
          <w:p w14:paraId="3E1FE457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- Персонал, задействованный в оказании муниципальной услуги, должен обладать знаниями и специальными навыками по действиям в чрезвычайных ситуациях, оказанию первой доврачебной помощи потребителям муниципальной услуги, в том числе: знать и учитывать в процессе оказания муниципальной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отдыха, создавать атмосферу благожелательности и гостеприимства, уметь разрешать конфликтные ситуации.</w:t>
            </w:r>
          </w:p>
          <w:p w14:paraId="6887AC47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14:paraId="37E9155B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Состав персонала определяется в соответствии со штатным расписанием.</w:t>
            </w:r>
          </w:p>
        </w:tc>
      </w:tr>
      <w:tr w:rsidR="002E4DA2" w:rsidRPr="002E4DA2" w14:paraId="0D9296CB" w14:textId="77777777" w:rsidTr="00A16BF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B0329E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kern w:val="2"/>
                <w:sz w:val="24"/>
                <w:szCs w:val="24"/>
                <w14:ligatures w14:val="standardContextual"/>
              </w:rPr>
              <w:t>2. Требования к дополнительной образовательной программе (далее – ДОП), реализуемой в соответствии с социальным сертификатом</w:t>
            </w:r>
          </w:p>
        </w:tc>
      </w:tr>
      <w:tr w:rsidR="002E4DA2" w:rsidRPr="002E4DA2" w14:paraId="5B33B7BA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F907C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46BB5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Соответствие нормативным требованиям к разработке и 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утверждению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8EC238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Дополнительная образовательная программа должна быть составлена в соответствии с:</w:t>
            </w:r>
          </w:p>
          <w:p w14:paraId="14BD933F" w14:textId="77777777" w:rsidR="002E4DA2" w:rsidRPr="002E4DA2" w:rsidRDefault="002E4DA2" w:rsidP="002E4DA2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PT Astra Serif" w:eastAsiaTheme="majorEastAsia" w:hAnsi="PT Astra Serif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sz w:val="24"/>
                <w:szCs w:val="24"/>
                <w14:ligatures w14:val="standardContextual"/>
              </w:rPr>
              <w:lastRenderedPageBreak/>
              <w:t xml:space="preserve">      - </w:t>
            </w:r>
            <w:r w:rsidRPr="002E4DA2">
              <w:rPr>
                <w:rFonts w:ascii="PT Astra Serif" w:eastAsiaTheme="majorEastAsia" w:hAnsi="PT Astra Serif" w:cs="Times New Roman"/>
                <w:sz w:val="24"/>
                <w:szCs w:val="24"/>
                <w:lang w:eastAsia="en-US"/>
                <w14:ligatures w14:val="standardContextual"/>
              </w:rPr>
              <w:t>Федеральным законом "Об образовании в Российской Федерации" от 29.12.2012 N 273-ФЗ;</w:t>
            </w:r>
          </w:p>
          <w:p w14:paraId="47C69481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      </w:r>
          </w:p>
          <w:p w14:paraId="283BF0AE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 -</w:t>
            </w: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приказом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1E8D188E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Письмом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      </w:r>
          </w:p>
          <w:p w14:paraId="25F3D528" w14:textId="77777777" w:rsidR="002E4DA2" w:rsidRPr="002E4DA2" w:rsidRDefault="002E4DA2" w:rsidP="002E4DA2">
            <w:pPr>
              <w:keepNext/>
              <w:keepLines/>
              <w:spacing w:after="0" w:line="240" w:lineRule="auto"/>
              <w:ind w:firstLine="363"/>
              <w:jc w:val="both"/>
              <w:outlineLvl w:val="0"/>
              <w:rPr>
                <w:rFonts w:ascii="PT Astra Serif" w:eastAsiaTheme="majorEastAsia" w:hAnsi="PT Astra Serif" w:cs="Times New Roman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sz w:val="24"/>
                <w:szCs w:val="24"/>
                <w14:ligatures w14:val="standardContextual"/>
              </w:rPr>
              <w:t>-</w:t>
            </w:r>
            <w:r w:rsidRPr="002E4DA2">
              <w:rPr>
                <w:rFonts w:ascii="PT Astra Serif" w:eastAsiaTheme="majorEastAsia" w:hAnsi="PT Astra Serif" w:cs="Times New Roman"/>
                <w:sz w:val="24"/>
                <w:szCs w:val="24"/>
                <w:lang w:eastAsia="en-US"/>
                <w14:ligatures w14:val="standardContextual"/>
              </w:rPr>
              <w:t xml:space="preserve"> Письмо Минобрнауки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14:paraId="164523A5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14:paraId="757528AF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14:paraId="2AA6C72C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 - Уставом и локальными актами учреждения.</w:t>
            </w:r>
          </w:p>
        </w:tc>
      </w:tr>
      <w:tr w:rsidR="002E4DA2" w:rsidRPr="002E4DA2" w14:paraId="7A2CF2B4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C451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474FA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  <w:t>Соответствие ДОП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875EF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>Цели и задачи ДОП должны соответствовать требованиям статьи 75 Закона об образовании.</w:t>
            </w:r>
          </w:p>
          <w:p w14:paraId="6FB126DE" w14:textId="77777777" w:rsidR="002E4DA2" w:rsidRPr="002E4DA2" w:rsidRDefault="002E4DA2" w:rsidP="002E4DA2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</w:t>
            </w:r>
            <w:proofErr w:type="gramStart"/>
            <w:r w:rsidRPr="002E4DA2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>дошкольного  образования</w:t>
            </w:r>
            <w:proofErr w:type="gramEnd"/>
            <w:r w:rsidRPr="002E4DA2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 xml:space="preserve"> и (или) основной образовательной программы начального и(или)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2E4DA2" w:rsidRPr="002E4DA2" w14:paraId="7D9F7220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7DE80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CF98C3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Соответствие ДОП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43687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В соответствии со п.9. ст.2 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Федерального закона "Об образовании в Российской Федерации" от 29.12.2012 N 273-ФЗ в ДОП д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олжны присутствовать обязательные структурные компоненты:</w:t>
            </w:r>
          </w:p>
          <w:p w14:paraId="134C89AD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1. Титульный лист</w:t>
            </w:r>
          </w:p>
          <w:p w14:paraId="7A4A60E6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2. Комплекс основных характеристик ДОП</w:t>
            </w:r>
          </w:p>
          <w:p w14:paraId="12745A75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3. Комплекс организационно-педагогических условий ДОП.</w:t>
            </w:r>
          </w:p>
          <w:p w14:paraId="14BEFA92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4DA2" w:rsidRPr="002E4DA2" w14:paraId="1E55DED8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EA3394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99BA4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Требования к оформлению титульного листа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64CB7B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На титульном листе обязательно указываются:</w:t>
            </w:r>
          </w:p>
          <w:p w14:paraId="35DEEC8D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14:paraId="44259FE9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организации</w:t>
            </w:r>
            <w:proofErr w:type="gramEnd"/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осуществляющей образовательную 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 xml:space="preserve">деятельность; </w:t>
            </w:r>
          </w:p>
          <w:p w14:paraId="727488D4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реквизиты утверждения ДОП, включающие дату утверждения, номера приказа и протокола (при наличии), подпись директора, печать; </w:t>
            </w:r>
          </w:p>
          <w:p w14:paraId="7BB22F63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название ДОП; </w:t>
            </w:r>
          </w:p>
          <w:p w14:paraId="7DD0EB43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направленность; </w:t>
            </w:r>
          </w:p>
          <w:p w14:paraId="52DE64BF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возраст обучающихся, на которых рассчитана ДОП; </w:t>
            </w:r>
          </w:p>
          <w:p w14:paraId="38CBD385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срок реализации; количество часов по ДОП; </w:t>
            </w:r>
          </w:p>
          <w:p w14:paraId="7E7E70E0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ФИО и должность автора (</w:t>
            </w:r>
            <w:proofErr w:type="spellStart"/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ов</w:t>
            </w:r>
            <w:proofErr w:type="spellEnd"/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) ДОП; </w:t>
            </w:r>
          </w:p>
          <w:p w14:paraId="53BD403A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b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наименование населенного пункта, в котором реализуется программа</w:t>
            </w:r>
          </w:p>
        </w:tc>
      </w:tr>
      <w:tr w:rsidR="002E4DA2" w:rsidRPr="002E4DA2" w14:paraId="4D7CE07F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2BBEA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FE9BC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Требования к содержанию комплекса основных характеристик ДОП  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B69017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Комплекс основных характеристик ДОП должен включать в себя следующие элементы: </w:t>
            </w:r>
          </w:p>
          <w:p w14:paraId="75C27E12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</w:t>
            </w:r>
            <w:r w:rsidRPr="002E4DA2">
              <w:rPr>
                <w:rFonts w:ascii="PT Astra Serif" w:eastAsiaTheme="minorHAnsi" w:hAnsi="PT Astra Serif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пояснительная записка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, в которой указывается нормативно-правовая основа ДОП, направленность, актуальность</w:t>
            </w:r>
            <w:r w:rsidRPr="002E4DA2">
              <w:rPr>
                <w:rFonts w:ascii="PT Astra Serif" w:eastAsiaTheme="minorHAnsi" w:hAnsi="PT Astra Serif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; 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отличительная особенность ДОП (как построена, модульная, разноуровневая,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2E4DA2">
              <w:rPr>
                <w:rFonts w:ascii="PT Astra Serif" w:eastAsiaTheme="minorHAnsi" w:hAnsi="PT Astra Serif" w:cs="Times New Roman"/>
                <w:b/>
                <w:kern w:val="2"/>
                <w:sz w:val="24"/>
                <w:szCs w:val="24"/>
                <w:lang w:eastAsia="en-US"/>
                <w14:ligatures w14:val="standardContextual"/>
              </w:rPr>
              <w:t>возраст,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категория обучающихся, которые могут обучаться по ДОП); </w:t>
            </w:r>
          </w:p>
          <w:p w14:paraId="416B6FD3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уровень ДОП </w:t>
            </w: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(разноуровневая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14:paraId="51ADD216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объем и срок освоения ДОП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1" w:name="_Hlk89080743"/>
            <w:r w:rsidRPr="002E4DA2">
              <w:rPr>
                <w:rFonts w:ascii="PT Astra Serif" w:eastAsiaTheme="minorHAnsi" w:hAnsi="PT Astra Serif" w:cs="Times New Roman"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п</w:t>
            </w:r>
            <w:r w:rsidRPr="002E4DA2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>еречень видов занятий</w:t>
            </w:r>
            <w:bookmarkEnd w:id="1"/>
            <w:r w:rsidRPr="002E4DA2">
              <w:rPr>
                <w:rFonts w:ascii="PT Astra Serif" w:eastAsiaTheme="minorHAnsi" w:hAnsi="PT Astra Serif" w:cs="Times New Roman"/>
                <w:bCs/>
                <w:sz w:val="24"/>
                <w:szCs w:val="24"/>
                <w:lang w:eastAsia="en-US"/>
              </w:rPr>
              <w:t>; перечень форм подведения итогов реализации дополнительной общеразвивающей программы.</w:t>
            </w:r>
          </w:p>
          <w:p w14:paraId="14616711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</w:t>
            </w:r>
            <w:r w:rsidRPr="002E4DA2">
              <w:rPr>
                <w:rFonts w:ascii="PT Astra Serif" w:eastAsiaTheme="minorHAnsi" w:hAnsi="PT Astra Serif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цели, задачи и планируемые результаты ДОП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; </w:t>
            </w:r>
          </w:p>
          <w:p w14:paraId="77BBBF2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содержание ДОП: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  <w:p w14:paraId="78A236E7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14:paraId="02212B0A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Содержание учебного плана — это описание разделов (модулей) и тем ДОП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Pr="002E4DA2"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  <w:t>для каждого периода (года) обучения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. </w:t>
            </w:r>
          </w:p>
        </w:tc>
      </w:tr>
      <w:tr w:rsidR="002E4DA2" w:rsidRPr="002E4DA2" w14:paraId="4147D37C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ABD3504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7B2D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85D560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Цель и задачи ДОП должны верифицироваться планируемым результатом.</w:t>
            </w:r>
          </w:p>
          <w:p w14:paraId="44579ED7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Задачи: </w:t>
            </w:r>
          </w:p>
          <w:p w14:paraId="70756536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  <w:t>- образовательные,</w:t>
            </w:r>
          </w:p>
          <w:p w14:paraId="62B8B0EA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  <w:t>- развивающие,</w:t>
            </w:r>
          </w:p>
          <w:p w14:paraId="6267FB37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bCs/>
                <w:kern w:val="2"/>
                <w:sz w:val="24"/>
                <w:szCs w:val="24"/>
                <w14:ligatures w14:val="standardContextual"/>
              </w:rPr>
              <w:lastRenderedPageBreak/>
              <w:t>- воспитательные.</w:t>
            </w:r>
          </w:p>
          <w:p w14:paraId="4A1D50A3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E4DA2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Предполагаемые результаты:</w:t>
            </w:r>
          </w:p>
          <w:p w14:paraId="61AB4704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 xml:space="preserve">− личностные планируемые результаты, </w:t>
            </w:r>
          </w:p>
          <w:p w14:paraId="02D06170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 xml:space="preserve">− метапредметные планируемые результаты, </w:t>
            </w:r>
          </w:p>
          <w:p w14:paraId="0F36B844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>− предметные образовательные результаты.</w:t>
            </w:r>
          </w:p>
        </w:tc>
      </w:tr>
      <w:tr w:rsidR="002E4DA2" w:rsidRPr="002E4DA2" w14:paraId="7CD443C2" w14:textId="77777777" w:rsidTr="00A16BF4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891129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45F49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Требования к комплексу организационно-педагогических условий ДОП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84412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Обязательными организационно-педагогическими условиями   ДОП являются:</w:t>
            </w:r>
          </w:p>
          <w:p w14:paraId="37482422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календарный учебный график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14:paraId="659EEBAA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формы аттестации (контроля)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;</w:t>
            </w:r>
          </w:p>
          <w:p w14:paraId="1CC3C542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 xml:space="preserve">- </w:t>
            </w:r>
            <w:r w:rsidRPr="002E4DA2">
              <w:rPr>
                <w:rFonts w:ascii="PT Astra Serif" w:hAnsi="PT Astra Serif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оценочные материалы- </w:t>
            </w:r>
            <w:r w:rsidRPr="002E4DA2"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14:paraId="1D73290E" w14:textId="77777777" w:rsidR="002E4DA2" w:rsidRPr="002E4DA2" w:rsidRDefault="002E4DA2" w:rsidP="002E4DA2">
            <w:pPr>
              <w:spacing w:after="0" w:line="240" w:lineRule="auto"/>
              <w:ind w:left="-107" w:firstLine="470"/>
              <w:contextualSpacing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</w:t>
            </w:r>
            <w:r w:rsidRPr="002E4DA2">
              <w:rPr>
                <w:rFonts w:ascii="PT Astra Serif" w:eastAsiaTheme="minorHAnsi" w:hAnsi="PT Astra Serif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методическое обеспечение ДОП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– </w:t>
            </w:r>
            <w:r w:rsidRPr="002E4DA2">
              <w:rPr>
                <w:rFonts w:ascii="PT Astra Serif" w:eastAsiaTheme="minorHAnsi" w:hAnsi="PT Astra Serif" w:cs="Times New Roman"/>
                <w:sz w:val="24"/>
                <w:szCs w:val="24"/>
                <w:lang w:eastAsia="en-US"/>
              </w:rPr>
              <w:t>обеспечение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технологий, в том числе информационных.</w:t>
            </w:r>
          </w:p>
          <w:p w14:paraId="65FABAC7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</w:t>
            </w:r>
            <w:r w:rsidRPr="002E4DA2">
              <w:rPr>
                <w:rFonts w:ascii="PT Astra Serif" w:eastAsiaTheme="minorHAnsi" w:hAnsi="PT Astra Serif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>материально-техническое обеспечение ДОП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– перечень материально-технического оборудования и условий для реализации ДОП;</w:t>
            </w:r>
          </w:p>
          <w:p w14:paraId="5EDC4313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- </w:t>
            </w:r>
            <w:r w:rsidRPr="002E4DA2">
              <w:rPr>
                <w:rFonts w:ascii="PT Astra Serif" w:eastAsiaTheme="minorHAnsi" w:hAnsi="PT Astra Serif" w:cs="Times New Roman"/>
                <w:b/>
                <w:bCs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список литературы, содержащий </w:t>
            </w:r>
            <w:r w:rsidRPr="002E4DA2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 том числе:</w:t>
            </w:r>
          </w:p>
          <w:p w14:paraId="4306277D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 xml:space="preserve">− нормативные правовые акты, </w:t>
            </w:r>
          </w:p>
          <w:p w14:paraId="5E25BC5A" w14:textId="77777777" w:rsidR="002E4DA2" w:rsidRPr="002E4DA2" w:rsidRDefault="002E4DA2" w:rsidP="002E4DA2">
            <w:pPr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 xml:space="preserve">− основную и дополнительную литературу, </w:t>
            </w:r>
          </w:p>
          <w:p w14:paraId="68B7AFA5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>− список литературы для обучающихся, родителей, в том числе интернет-источники.</w:t>
            </w:r>
          </w:p>
          <w:p w14:paraId="69DA3CCF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2E4DA2">
              <w:rPr>
                <w:rFonts w:ascii="PT Astra Serif" w:eastAsia="Gungsuh" w:hAnsi="PT Astra Serif" w:cs="Times New Roman"/>
                <w:sz w:val="24"/>
                <w:szCs w:val="24"/>
                <w:lang w:eastAsia="en-US"/>
              </w:rPr>
              <w:t>Список оформляется по ГОСТ (Р 7.0.11-2011 либо Р 7.0.100-2018)</w:t>
            </w:r>
            <w:r w:rsidRPr="002E4DA2">
              <w:rPr>
                <w:rFonts w:ascii="PT Astra Serif" w:eastAsiaTheme="minorHAnsi" w:hAnsi="PT Astra Serif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</w:p>
          <w:p w14:paraId="745BB24E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PT Astra Serif" w:hAnsi="PT Astra Serif" w:cs="Times New Roman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76385931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eastAsiaTheme="minorHAnsi" w:hAnsi="PT Astra Serif" w:cs="Times New Roman"/>
          <w:lang w:eastAsia="en-US"/>
        </w:rPr>
      </w:pPr>
    </w:p>
    <w:p w14:paraId="6AC2A668" w14:textId="77777777" w:rsidR="002E4DA2" w:rsidRPr="002E4DA2" w:rsidRDefault="002E4DA2" w:rsidP="002E4DA2">
      <w:pPr>
        <w:tabs>
          <w:tab w:val="left" w:pos="2055"/>
        </w:tabs>
        <w:spacing w:after="0" w:line="240" w:lineRule="auto"/>
        <w:rPr>
          <w:rFonts w:ascii="PT Astra Serif" w:eastAsiaTheme="minorHAnsi" w:hAnsi="PT Astra Serif" w:cs="Times New Roman"/>
          <w:lang w:eastAsia="en-US"/>
        </w:rPr>
        <w:sectPr w:rsidR="002E4DA2" w:rsidRPr="002E4D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76DC7E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lastRenderedPageBreak/>
        <w:t>ПРИЛОЖЕНИЕ № 2</w:t>
      </w:r>
    </w:p>
    <w:p w14:paraId="12F59928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2E4DA2">
        <w:rPr>
          <w:rFonts w:ascii="PT Astra Serif" w:eastAsia="Calibri" w:hAnsi="PT Astra Serif" w:cs="Times New Roman"/>
          <w:bCs/>
          <w:sz w:val="28"/>
          <w:szCs w:val="28"/>
        </w:rPr>
        <w:t>к Требованиям</w:t>
      </w:r>
    </w:p>
    <w:p w14:paraId="73013CAA" w14:textId="77777777" w:rsidR="002E4DA2" w:rsidRPr="002E4DA2" w:rsidRDefault="002E4DA2" w:rsidP="002E4DA2">
      <w:pPr>
        <w:keepNext/>
        <w:spacing w:after="0" w:line="240" w:lineRule="auto"/>
        <w:ind w:left="6804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14:paraId="11813B40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E4DA2">
        <w:rPr>
          <w:rFonts w:ascii="PT Astra Serif" w:eastAsia="Calibri" w:hAnsi="PT Astra Serif" w:cs="Times New Roman"/>
          <w:b/>
          <w:caps/>
          <w:sz w:val="28"/>
          <w:szCs w:val="28"/>
        </w:rPr>
        <w:t>Критерии</w:t>
      </w:r>
      <w:r w:rsidRPr="002E4DA2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</w:p>
    <w:p w14:paraId="25CAB289" w14:textId="77777777" w:rsidR="002E4DA2" w:rsidRPr="002E4DA2" w:rsidRDefault="002E4DA2" w:rsidP="002E4DA2">
      <w:pPr>
        <w:keepNext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2E4DA2">
        <w:rPr>
          <w:rFonts w:ascii="PT Astra Serif" w:eastAsia="Calibri" w:hAnsi="PT Astra Serif" w:cs="Times New Roman"/>
          <w:b/>
          <w:sz w:val="28"/>
          <w:szCs w:val="28"/>
        </w:rPr>
        <w:t>оценки соответствия дополнительной общеразвивающей программы Минимальным требованиям к оказанию муниципальной услуги в социальной сфере по реализации дополнительных общеразвивающих программ</w:t>
      </w:r>
    </w:p>
    <w:p w14:paraId="6C2FF2A8" w14:textId="77777777" w:rsidR="002E4DA2" w:rsidRPr="002E4DA2" w:rsidRDefault="002E4DA2" w:rsidP="002E4DA2">
      <w:pPr>
        <w:keepNext/>
        <w:spacing w:after="0" w:line="240" w:lineRule="auto"/>
        <w:ind w:left="6804"/>
        <w:jc w:val="right"/>
        <w:rPr>
          <w:rFonts w:ascii="PT Astra Serif" w:eastAsia="Calibri" w:hAnsi="PT Astra Serif" w:cs="Times New Roman"/>
          <w:bCs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13"/>
        <w:gridCol w:w="8885"/>
      </w:tblGrid>
      <w:tr w:rsidR="002E4DA2" w:rsidRPr="002E4DA2" w14:paraId="1381E200" w14:textId="77777777" w:rsidTr="00A16BF4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C6A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hAnsi="PT Astra Serif" w:cstheme="minorBidi"/>
                <w:bCs/>
                <w:w w:val="99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bCs/>
                <w:w w:val="99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18D9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b/>
                <w:w w:val="99"/>
                <w:sz w:val="24"/>
                <w:szCs w:val="24"/>
                <w:bdr w:val="none" w:sz="0" w:space="0" w:color="auto" w:frame="1"/>
              </w:rPr>
              <w:t xml:space="preserve">Критерии оценки </w:t>
            </w:r>
          </w:p>
        </w:tc>
      </w:tr>
      <w:tr w:rsidR="002E4DA2" w:rsidRPr="002E4DA2" w14:paraId="0AA1CE91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112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CC9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1. Титульный лист</w:t>
            </w:r>
          </w:p>
        </w:tc>
      </w:tr>
      <w:tr w:rsidR="002E4DA2" w:rsidRPr="002E4DA2" w14:paraId="25EBF2F1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5874" w14:textId="77777777" w:rsidR="002E4DA2" w:rsidRPr="002E4DA2" w:rsidRDefault="002E4DA2" w:rsidP="002E4DA2">
            <w:pPr>
              <w:numPr>
                <w:ilvl w:val="1"/>
                <w:numId w:val="3"/>
              </w:numPr>
              <w:spacing w:after="0" w:line="240" w:lineRule="auto"/>
              <w:ind w:left="-81"/>
              <w:contextualSpacing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5ACC" w14:textId="77777777" w:rsidR="002E4DA2" w:rsidRPr="002E4DA2" w:rsidRDefault="002E4DA2" w:rsidP="002E4DA2">
            <w:pPr>
              <w:spacing w:after="160" w:line="240" w:lineRule="auto"/>
              <w:ind w:left="-81"/>
              <w:contextualSpacing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Соответствие оформления требованиям к программам (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автора(</w:t>
            </w:r>
            <w:proofErr w:type="spellStart"/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ов</w:t>
            </w:r>
            <w:proofErr w:type="spellEnd"/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)-составителя(ей) программы; место (населенный пункт) реализации программы.</w:t>
            </w:r>
          </w:p>
        </w:tc>
      </w:tr>
      <w:tr w:rsidR="002E4DA2" w:rsidRPr="002E4DA2" w14:paraId="395CD4F6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F2E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0A6D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2.Пояснительная записка</w:t>
            </w:r>
          </w:p>
        </w:tc>
      </w:tr>
      <w:tr w:rsidR="002E4DA2" w:rsidRPr="002E4DA2" w14:paraId="72EF8C51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148" w14:textId="77777777" w:rsidR="002E4DA2" w:rsidRPr="002E4DA2" w:rsidRDefault="002E4DA2" w:rsidP="002E4DA2">
            <w:pPr>
              <w:widowControl w:val="0"/>
              <w:spacing w:after="160" w:line="240" w:lineRule="auto"/>
              <w:ind w:left="-81" w:right="117"/>
              <w:jc w:val="both"/>
              <w:rPr>
                <w:rFonts w:ascii="PT Astra Serif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b/>
                <w:sz w:val="24"/>
                <w:szCs w:val="24"/>
                <w:bdr w:val="none" w:sz="0" w:space="0" w:color="auto" w:frame="1"/>
              </w:rPr>
              <w:t>2.1</w:t>
            </w: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1EAD" w14:textId="77777777" w:rsidR="002E4DA2" w:rsidRPr="002E4DA2" w:rsidRDefault="002E4DA2" w:rsidP="002E4DA2">
            <w:pPr>
              <w:widowControl w:val="0"/>
              <w:spacing w:after="160" w:line="240" w:lineRule="auto"/>
              <w:ind w:left="-81" w:right="117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</w:p>
        </w:tc>
      </w:tr>
      <w:tr w:rsidR="002E4DA2" w:rsidRPr="002E4DA2" w14:paraId="58138342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E57A" w14:textId="77777777" w:rsidR="002E4DA2" w:rsidRPr="002E4DA2" w:rsidRDefault="002E4DA2" w:rsidP="002E4DA2">
            <w:pPr>
              <w:widowControl w:val="0"/>
              <w:spacing w:after="160" w:line="240" w:lineRule="auto"/>
              <w:ind w:left="-81" w:right="117"/>
              <w:jc w:val="both"/>
              <w:rPr>
                <w:rFonts w:ascii="PT Astra Serif" w:eastAsiaTheme="minorHAnsi" w:hAnsi="PT Astra Serif" w:cstheme="minorBidi"/>
                <w:b/>
                <w:bCs/>
                <w:sz w:val="24"/>
                <w:szCs w:val="24"/>
                <w:lang w:eastAsia="en-US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bCs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6272" w14:textId="77777777" w:rsidR="002E4DA2" w:rsidRPr="002E4DA2" w:rsidRDefault="002E4DA2" w:rsidP="002E4DA2">
            <w:pPr>
              <w:widowControl w:val="0"/>
              <w:spacing w:after="160" w:line="240" w:lineRule="auto"/>
              <w:ind w:left="-81" w:right="117"/>
              <w:jc w:val="both"/>
              <w:rPr>
                <w:rFonts w:ascii="PT Astra Serif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2E4DA2" w:rsidRPr="002E4DA2" w14:paraId="32E0161E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5EA1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b/>
                <w:sz w:val="24"/>
                <w:szCs w:val="24"/>
                <w:bdr w:val="none" w:sz="0" w:space="0" w:color="auto" w:frame="1"/>
              </w:rPr>
              <w:t>2.3</w:t>
            </w: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36A9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14:paraId="7683A1B8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>Цель отражает направленность программы и планируемый образовательный результат (личностные, метапредметные, предметные), цель конкретизирована через задачи, формулировки задач отображают шаги по достижению образовательного результата. (образовательные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E4DA2" w:rsidRPr="002E4DA2" w14:paraId="36204C42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38E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bCs/>
                <w:iCs/>
                <w:sz w:val="24"/>
                <w:szCs w:val="24"/>
                <w:bdr w:val="none" w:sz="0" w:space="0" w:color="auto" w:frame="1"/>
              </w:rPr>
              <w:t>2.4</w:t>
            </w:r>
            <w:r w:rsidRPr="002E4DA2">
              <w:rPr>
                <w:rFonts w:ascii="PT Astra Serif" w:eastAsiaTheme="minorHAnsi" w:hAnsi="PT Astra Serif" w:cstheme="minorBidi"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8370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Cs/>
                <w:iCs/>
                <w:sz w:val="24"/>
                <w:szCs w:val="24"/>
                <w:bdr w:val="none" w:sz="0" w:space="0" w:color="auto" w:frame="1"/>
              </w:rPr>
              <w:t xml:space="preserve">Соответствие планируемых результатов (предметных, метапредметных, личностных) 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целям и задачам программы.</w:t>
            </w:r>
          </w:p>
        </w:tc>
      </w:tr>
      <w:tr w:rsidR="002E4DA2" w:rsidRPr="002E4DA2" w14:paraId="088B25EF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6163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bCs/>
                <w:iCs/>
                <w:sz w:val="24"/>
                <w:szCs w:val="24"/>
                <w:bdr w:val="none" w:sz="0" w:space="0" w:color="auto" w:frame="1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B89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E4DA2" w:rsidRPr="002E4DA2" w14:paraId="4D1CFD0B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E929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199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 xml:space="preserve">3.Учебный план </w:t>
            </w:r>
          </w:p>
        </w:tc>
      </w:tr>
      <w:tr w:rsidR="002E4DA2" w:rsidRPr="002E4DA2" w14:paraId="6FB54285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D41" w14:textId="77777777" w:rsidR="002E4DA2" w:rsidRPr="002E4DA2" w:rsidRDefault="002E4DA2" w:rsidP="002E4DA2">
            <w:pPr>
              <w:autoSpaceDE w:val="0"/>
              <w:autoSpaceDN w:val="0"/>
              <w:adjustRightInd w:val="0"/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43C9" w14:textId="77777777" w:rsidR="002E4DA2" w:rsidRPr="002E4DA2" w:rsidRDefault="002E4DA2" w:rsidP="002E4DA2">
            <w:pPr>
              <w:autoSpaceDE w:val="0"/>
              <w:autoSpaceDN w:val="0"/>
              <w:adjustRightInd w:val="0"/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Cs/>
                <w:sz w:val="24"/>
                <w:szCs w:val="24"/>
                <w:bdr w:val="none" w:sz="0" w:space="0" w:color="auto" w:frame="1"/>
              </w:rPr>
              <w:t>Н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 xml:space="preserve"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lastRenderedPageBreak/>
              <w:t>(модулей), тем, практики, иных видов учебной деятельности и формы аттестации обучающихся).</w:t>
            </w:r>
          </w:p>
        </w:tc>
      </w:tr>
      <w:tr w:rsidR="002E4DA2" w:rsidRPr="002E4DA2" w14:paraId="025FE6CF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D39E" w14:textId="77777777" w:rsidR="002E4DA2" w:rsidRPr="002E4DA2" w:rsidRDefault="002E4DA2" w:rsidP="002E4DA2">
            <w:pPr>
              <w:autoSpaceDE w:val="0"/>
              <w:autoSpaceDN w:val="0"/>
              <w:adjustRightInd w:val="0"/>
              <w:spacing w:after="160" w:line="240" w:lineRule="auto"/>
              <w:ind w:left="-81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lastRenderedPageBreak/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0C13" w14:textId="77777777" w:rsidR="002E4DA2" w:rsidRPr="002E4DA2" w:rsidRDefault="002E4DA2" w:rsidP="002E4DA2">
            <w:pPr>
              <w:autoSpaceDE w:val="0"/>
              <w:autoSpaceDN w:val="0"/>
              <w:adjustRightInd w:val="0"/>
              <w:spacing w:after="160" w:line="240" w:lineRule="auto"/>
              <w:ind w:left="-81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Логичность последовательности, системность разделов и тем.</w:t>
            </w:r>
          </w:p>
        </w:tc>
      </w:tr>
      <w:tr w:rsidR="002E4DA2" w:rsidRPr="002E4DA2" w14:paraId="1E49103E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5A1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E55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4.Содержание учебного плана</w:t>
            </w:r>
          </w:p>
        </w:tc>
      </w:tr>
      <w:tr w:rsidR="002E4DA2" w:rsidRPr="002E4DA2" w14:paraId="3634F4BA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DA6F" w14:textId="77777777" w:rsidR="002E4DA2" w:rsidRPr="002E4DA2" w:rsidRDefault="002E4DA2" w:rsidP="002E4DA2">
            <w:pPr>
              <w:widowControl w:val="0"/>
              <w:spacing w:after="160" w:line="240" w:lineRule="auto"/>
              <w:ind w:left="-81" w:right="93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D234" w14:textId="77777777" w:rsidR="002E4DA2" w:rsidRPr="002E4DA2" w:rsidRDefault="002E4DA2" w:rsidP="002E4DA2">
            <w:pPr>
              <w:widowControl w:val="0"/>
              <w:spacing w:after="160" w:line="240" w:lineRule="auto"/>
              <w:ind w:left="-81" w:right="93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2E4DA2" w:rsidRPr="002E4DA2" w14:paraId="4FB20D79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343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4.2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23F4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соблюдён баланс между заявленной трудоёмкостью темы и объемом представляемого содержания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).</w:t>
            </w:r>
          </w:p>
        </w:tc>
      </w:tr>
      <w:tr w:rsidR="002E4DA2" w:rsidRPr="002E4DA2" w14:paraId="7A995503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FE2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34A4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5.Условия реализации программы</w:t>
            </w:r>
          </w:p>
        </w:tc>
      </w:tr>
      <w:tr w:rsidR="002E4DA2" w:rsidRPr="002E4DA2" w14:paraId="404D342A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155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53C9" w14:textId="77777777" w:rsidR="002E4DA2" w:rsidRPr="002E4DA2" w:rsidRDefault="002E4DA2" w:rsidP="002E4DA2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Наличие к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lang w:eastAsia="en-US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2E4DA2" w:rsidRPr="002E4DA2" w14:paraId="68AFA1D8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98B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5.2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14FB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E4DA2" w:rsidRPr="002E4DA2" w14:paraId="45814E96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D24E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5.3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753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 xml:space="preserve">Наличие информационно-методических условий реализации программы, обеспечивающих 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достижение планируемых результатов</w:t>
            </w: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E4DA2" w:rsidRPr="002E4DA2" w14:paraId="13D2F7F0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C9E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5.4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B0FE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 xml:space="preserve">Наличие </w:t>
            </w:r>
            <w:r w:rsidRPr="002E4DA2">
              <w:rPr>
                <w:rFonts w:ascii="PT Astra Serif" w:eastAsiaTheme="minorHAnsi" w:hAnsi="PT Astra Serif" w:cstheme="minorBidi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оценочных материалов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E4DA2" w:rsidRPr="002E4DA2" w14:paraId="248440C3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8D0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B6FF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6.Список литературы</w:t>
            </w:r>
          </w:p>
        </w:tc>
      </w:tr>
      <w:tr w:rsidR="002E4DA2" w:rsidRPr="002E4DA2" w14:paraId="7C5BE575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071" w14:textId="77777777" w:rsidR="002E4DA2" w:rsidRPr="002E4DA2" w:rsidRDefault="002E4DA2" w:rsidP="002E4DA2">
            <w:pPr>
              <w:spacing w:after="160" w:line="240" w:lineRule="auto"/>
              <w:ind w:left="-81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09FC" w14:textId="77777777" w:rsidR="002E4DA2" w:rsidRPr="002E4DA2" w:rsidRDefault="002E4DA2" w:rsidP="002E4DA2">
            <w:pPr>
              <w:spacing w:after="160" w:line="240" w:lineRule="auto"/>
              <w:ind w:left="-81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 xml:space="preserve">Наличие списков литературы для педагога, учащихся (родителей). </w:t>
            </w:r>
          </w:p>
        </w:tc>
      </w:tr>
      <w:tr w:rsidR="002E4DA2" w:rsidRPr="002E4DA2" w14:paraId="37BD2132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7CC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2555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 xml:space="preserve">Соответствие оформления списков 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>использованной и рекомендуемой литературы правилам составления библиографического списка</w:t>
            </w:r>
            <w:r w:rsidRPr="002E4DA2">
              <w:rPr>
                <w:rFonts w:ascii="PT Astra Serif" w:eastAsia="Gungsuh" w:hAnsi="PT Astra Serif" w:cstheme="minorBidi"/>
                <w:sz w:val="24"/>
                <w:szCs w:val="24"/>
                <w:lang w:eastAsia="en-US"/>
              </w:rPr>
              <w:t xml:space="preserve"> (ГОСТ Р 7.0.11-2011 либо ГОСТ Р 7.0.100-2018)</w:t>
            </w:r>
            <w:r w:rsidRPr="002E4DA2">
              <w:rPr>
                <w:rFonts w:ascii="PT Astra Serif" w:eastAsiaTheme="minorHAnsi" w:hAnsi="PT Astra Serif" w:cstheme="minorBidi"/>
                <w:kern w:val="2"/>
                <w:sz w:val="24"/>
                <w:szCs w:val="24"/>
                <w:lang w:eastAsia="en-US"/>
                <w14:ligatures w14:val="standardContextual"/>
              </w:rPr>
              <w:t>.</w:t>
            </w:r>
          </w:p>
        </w:tc>
      </w:tr>
      <w:tr w:rsidR="002E4DA2" w:rsidRPr="002E4DA2" w14:paraId="78E8A735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38B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172A" w14:textId="77777777" w:rsidR="002E4DA2" w:rsidRPr="002E4DA2" w:rsidRDefault="002E4DA2" w:rsidP="002E4DA2">
            <w:pPr>
              <w:spacing w:after="160" w:line="240" w:lineRule="auto"/>
              <w:jc w:val="center"/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sz w:val="24"/>
                <w:szCs w:val="24"/>
                <w:bdr w:val="none" w:sz="0" w:space="0" w:color="auto" w:frame="1"/>
              </w:rPr>
              <w:t>7. Оформление программы</w:t>
            </w:r>
          </w:p>
        </w:tc>
      </w:tr>
      <w:tr w:rsidR="002E4DA2" w:rsidRPr="002E4DA2" w14:paraId="3F4B17B2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8D53" w14:textId="77777777" w:rsidR="002E4DA2" w:rsidRPr="002E4DA2" w:rsidRDefault="002E4DA2" w:rsidP="002E4DA2">
            <w:pPr>
              <w:keepNext/>
              <w:keepLines/>
              <w:shd w:val="clear" w:color="auto" w:fill="FFFFFF"/>
              <w:spacing w:before="161" w:after="0" w:line="240" w:lineRule="auto"/>
              <w:jc w:val="both"/>
              <w:outlineLvl w:val="0"/>
              <w:rPr>
                <w:rFonts w:ascii="PT Astra Serif" w:eastAsiaTheme="majorEastAsia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4DA2">
              <w:rPr>
                <w:rFonts w:ascii="PT Astra Serif" w:eastAsiaTheme="majorEastAsia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6060" w14:textId="77777777" w:rsidR="002E4DA2" w:rsidRPr="002E4DA2" w:rsidRDefault="002E4DA2" w:rsidP="002E4DA2">
            <w:pPr>
              <w:keepNext/>
              <w:keepLines/>
              <w:shd w:val="clear" w:color="auto" w:fill="FFFFFF"/>
              <w:spacing w:before="161" w:after="0" w:line="240" w:lineRule="auto"/>
              <w:outlineLvl w:val="0"/>
              <w:rPr>
                <w:rFonts w:ascii="PT Astra Serif" w:eastAsiaTheme="majorEastAsia" w:hAnsi="PT Astra Serif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4DA2">
              <w:rPr>
                <w:rFonts w:ascii="PT Astra Serif" w:eastAsiaTheme="majorEastAsia" w:hAnsi="PT Astra Serif" w:cs="Times New Roman"/>
                <w:sz w:val="24"/>
                <w:szCs w:val="24"/>
                <w:bdr w:val="none" w:sz="0" w:space="0" w:color="auto" w:frame="1"/>
                <w:lang w:eastAsia="en-US"/>
              </w:rPr>
              <w:t>Соответствие оформления программы общим требованиям к созданию документов (</w:t>
            </w:r>
            <w:r w:rsidRPr="002E4DA2">
              <w:rPr>
                <w:rFonts w:ascii="PT Astra Serif" w:eastAsiaTheme="majorEastAsia" w:hAnsi="PT Astra Serif" w:cs="Times New Roman"/>
                <w:sz w:val="24"/>
                <w:szCs w:val="24"/>
                <w:lang w:eastAsia="en-US"/>
              </w:rPr>
              <w:t>ГОСТ Р 7.0.97-2016)</w:t>
            </w:r>
          </w:p>
        </w:tc>
      </w:tr>
      <w:tr w:rsidR="002E4DA2" w:rsidRPr="002E4DA2" w14:paraId="22EFC597" w14:textId="77777777" w:rsidTr="00A16BF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2D1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eastAsiaTheme="minorHAnsi" w:hAnsi="PT Astra Serif" w:cstheme="minorBidi"/>
                <w:b/>
                <w:bCs/>
                <w:sz w:val="24"/>
                <w:szCs w:val="24"/>
                <w:bdr w:val="none" w:sz="0" w:space="0" w:color="auto" w:frame="1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7CE3" w14:textId="77777777" w:rsidR="002E4DA2" w:rsidRPr="002E4DA2" w:rsidRDefault="002E4DA2" w:rsidP="002E4DA2">
            <w:pPr>
              <w:spacing w:after="160" w:line="240" w:lineRule="auto"/>
              <w:ind w:left="-81"/>
              <w:jc w:val="both"/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</w:pPr>
            <w:r w:rsidRPr="002E4DA2">
              <w:rPr>
                <w:rFonts w:ascii="PT Astra Serif" w:hAnsi="PT Astra Serif" w:cstheme="minorBidi"/>
                <w:sz w:val="24"/>
                <w:szCs w:val="24"/>
                <w:bdr w:val="none" w:sz="0" w:space="0" w:color="auto" w:frame="1"/>
              </w:rPr>
              <w:t>Соответствие и обоснованность используемой терминологии,</w:t>
            </w:r>
            <w:r w:rsidRPr="002E4DA2">
              <w:rPr>
                <w:rFonts w:ascii="PT Astra Serif" w:eastAsiaTheme="minorHAnsi" w:hAnsi="PT Astra Serif" w:cstheme="minorBidi"/>
                <w:sz w:val="24"/>
                <w:szCs w:val="24"/>
                <w:bdr w:val="none" w:sz="0" w:space="0" w:color="auto" w:frame="1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14:paraId="637C0360" w14:textId="77777777" w:rsidR="002E4DA2" w:rsidRPr="002E4DA2" w:rsidRDefault="002E4DA2" w:rsidP="002E4DA2">
      <w:pPr>
        <w:tabs>
          <w:tab w:val="left" w:pos="2055"/>
        </w:tabs>
        <w:spacing w:after="0" w:line="240" w:lineRule="auto"/>
        <w:rPr>
          <w:rFonts w:ascii="PT Astra Serif" w:eastAsiaTheme="minorHAnsi" w:hAnsi="PT Astra Serif" w:cs="Times New Roman"/>
          <w:sz w:val="24"/>
          <w:szCs w:val="24"/>
          <w:lang w:eastAsia="en-US"/>
        </w:rPr>
      </w:pPr>
    </w:p>
    <w:p w14:paraId="0CA3BBB5" w14:textId="77777777" w:rsidR="00FC2AF5" w:rsidRDefault="00FC2AF5"/>
    <w:sectPr w:rsidR="00FC2AF5" w:rsidSect="009B4B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4017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2023-10-03T07:34:00Z</dcterms:created>
  <dcterms:modified xsi:type="dcterms:W3CDTF">2023-10-03T07:38:00Z</dcterms:modified>
</cp:coreProperties>
</file>